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375E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520" w:right="520" w:firstLine="38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8"/>
          <w:szCs w:val="28"/>
        </w:rPr>
        <w:t>Отчет главы сельского поселения, председателя Собрания депутатов, главы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1375E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1920" w:right="560" w:hanging="1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«Бабстовское сельское поселение» о проделанной работе в 2016 году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1375E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деятельность администрации Бабстовского сельского поселения направлена на реализацию вопросов местного значения, определенных Федеральным законом от 06.10.2003 № 131-ФЗ «Об общих принципах организации местного самоуправления в Российской Федерации». В </w:t>
      </w:r>
      <w:r>
        <w:rPr>
          <w:rFonts w:ascii="Times New Roman" w:hAnsi="Times New Roman" w:cs="Times New Roman"/>
          <w:sz w:val="28"/>
          <w:szCs w:val="28"/>
        </w:rPr>
        <w:t>соответствии с указанным законом на 2016 год к ведению сельского поселения отнесены 26 вопроса местного значения, из которых в соответствии с соглашением о передаче органам местного самоуправления муниципального района части полномочий органов местного сам</w:t>
      </w:r>
      <w:r>
        <w:rPr>
          <w:rFonts w:ascii="Times New Roman" w:hAnsi="Times New Roman" w:cs="Times New Roman"/>
          <w:sz w:val="28"/>
          <w:szCs w:val="28"/>
        </w:rPr>
        <w:t xml:space="preserve">оуправления муниципального образования «Бабстовское сельское поселение» Ленинского муниципального района Еврейской автономной области, на исполнение органам местного самоуправления муниципального района переданы 5 полномочий. Деятельность администрации по </w:t>
      </w:r>
      <w:r>
        <w:rPr>
          <w:rFonts w:ascii="Times New Roman" w:hAnsi="Times New Roman" w:cs="Times New Roman"/>
          <w:sz w:val="28"/>
          <w:szCs w:val="28"/>
        </w:rPr>
        <w:t>исполнению вопросов местного значения и обеспечению жизнедеятельности населения проводилась согласно разработанным планам мероприятий и бюджету сельского поселения, которые утверждались Собранием депутатов.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1375E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глава администрации является председателем Собрания депутатов, главой сельского поселения. Председатель Собрания депутатов, глава сельского поселения представляет сельское поселение в отношениях с органами местного самоуправления других муниципальных о</w:t>
      </w:r>
      <w:r>
        <w:rPr>
          <w:rFonts w:ascii="Times New Roman" w:hAnsi="Times New Roman" w:cs="Times New Roman"/>
          <w:sz w:val="28"/>
          <w:szCs w:val="28"/>
        </w:rPr>
        <w:t>бразований, органами государственной власти, гражданами и организациями. Ежеквартально глава поселения присутствует на совещаниях Совета глав муниципальных образований, где рассматриваются вопросы по исполнению полномочий муниципальными образованиями, опре</w:t>
      </w:r>
      <w:r>
        <w:rPr>
          <w:rFonts w:ascii="Times New Roman" w:hAnsi="Times New Roman" w:cs="Times New Roman"/>
          <w:sz w:val="28"/>
          <w:szCs w:val="28"/>
        </w:rPr>
        <w:t>деленных им федеральным законом, по выработке антикризисных мер, по социально-экономической политике, по вопросам межмуниципального сотрудничества.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1375E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firstLine="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проходились совещания с предпринимателями и руководителями предприятий, организаций, учр</w:t>
      </w:r>
      <w:r>
        <w:rPr>
          <w:rFonts w:ascii="Times New Roman" w:hAnsi="Times New Roman" w:cs="Times New Roman"/>
          <w:sz w:val="28"/>
          <w:szCs w:val="28"/>
        </w:rPr>
        <w:t>еждений, расположенных на территории поселения, по вопросам: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1375E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212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заключении договоров по управлению жилищным фондом, находящимся в муниципальной собственности; 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21375E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санитарной очистке, благоустройстве и озеленении территории сёл; 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21375E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и проведении мероприятий, посвященных празднованию 71-й годовщины победы в Великой Отечественной войне; 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21375E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содержании улично-дорожной сети в населенных пунктах сельского поселения; 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21375E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89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сбора и вывоза бытовых отходов и мусор</w:t>
      </w:r>
      <w:r>
        <w:rPr>
          <w:rFonts w:ascii="Times New Roman" w:hAnsi="Times New Roman" w:cs="Times New Roman"/>
          <w:sz w:val="28"/>
          <w:szCs w:val="28"/>
        </w:rPr>
        <w:t xml:space="preserve">а от домов частного сектора; 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21375E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обеспечении мер пожарной безопасности на территории сельского поселения; 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21375E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летнего отдыха детей и подростков в 2016 году; </w:t>
      </w:r>
    </w:p>
    <w:p w:rsidR="00000000" w:rsidRDefault="0021375E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наполняемости и исполнении бюджета сельского поселения. </w:t>
      </w:r>
    </w:p>
    <w:p w:rsidR="00000000" w:rsidRDefault="00213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910" w:right="840" w:bottom="584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Также обсуждались мероприятия, направленные на реализацию вопросов:</w:t>
      </w:r>
    </w:p>
    <w:p w:rsidR="00000000" w:rsidRDefault="0021375E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ритуальных услуг и содержания мест захоронения; </w:t>
      </w:r>
    </w:p>
    <w:p w:rsidR="00000000" w:rsidRDefault="0021375E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содействия в развитии сельскохозяйственного производства; 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21375E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049"/>
        </w:tabs>
        <w:overflowPunct w:val="0"/>
        <w:autoSpaceDE w:val="0"/>
        <w:autoSpaceDN w:val="0"/>
        <w:adjustRightInd w:val="0"/>
        <w:spacing w:after="0" w:line="215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условий для ра</w:t>
      </w:r>
      <w:r>
        <w:rPr>
          <w:rFonts w:ascii="Times New Roman" w:hAnsi="Times New Roman" w:cs="Times New Roman"/>
          <w:sz w:val="28"/>
          <w:szCs w:val="28"/>
        </w:rPr>
        <w:t xml:space="preserve">звития на территории поселения физической культуры и массового спорта; 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21375E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участия в предупреждении и ликвидации последствий ЧС; 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21375E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347"/>
        </w:tabs>
        <w:overflowPunct w:val="0"/>
        <w:autoSpaceDE w:val="0"/>
        <w:autoSpaceDN w:val="0"/>
        <w:adjustRightInd w:val="0"/>
        <w:spacing w:after="0" w:line="215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 имуществом, находящимся в муниципальной собственности; 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21375E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167"/>
        </w:tabs>
        <w:overflowPunct w:val="0"/>
        <w:autoSpaceDE w:val="0"/>
        <w:autoSpaceDN w:val="0"/>
        <w:adjustRightInd w:val="0"/>
        <w:spacing w:after="0" w:line="215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массового отдыха жителей по</w:t>
      </w:r>
      <w:r>
        <w:rPr>
          <w:rFonts w:ascii="Times New Roman" w:hAnsi="Times New Roman" w:cs="Times New Roman"/>
          <w:sz w:val="28"/>
          <w:szCs w:val="28"/>
        </w:rPr>
        <w:t xml:space="preserve">селения и организации обустройства мест массового отдыха населения; 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21375E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234"/>
        </w:tabs>
        <w:overflowPunct w:val="0"/>
        <w:autoSpaceDE w:val="0"/>
        <w:autoSpaceDN w:val="0"/>
        <w:adjustRightInd w:val="0"/>
        <w:spacing w:after="0" w:line="215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сохранения памятников истории и культуры, находящихся в собственности поселения. 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21375E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принятых решений исполнена. Ход выполнения оставшихся решений контролируется главо</w:t>
      </w:r>
      <w:r>
        <w:rPr>
          <w:rFonts w:ascii="Times New Roman" w:hAnsi="Times New Roman" w:cs="Times New Roman"/>
          <w:sz w:val="28"/>
          <w:szCs w:val="28"/>
        </w:rPr>
        <w:t xml:space="preserve">й сельского поселения, депутатами Собрания депутатов и специалистами администрации. 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21375E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1037"/>
        </w:tabs>
        <w:overflowPunct w:val="0"/>
        <w:autoSpaceDE w:val="0"/>
        <w:autoSpaceDN w:val="0"/>
        <w:adjustRightInd w:val="0"/>
        <w:spacing w:after="0" w:line="233" w:lineRule="auto"/>
        <w:ind w:left="0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ходе деятельности, администрацией и главой сельского поселения особое внимание уделялось вопросам жилищно-коммунального хозяйства. Отопительный сезон 2016/2017 годов п</w:t>
      </w:r>
      <w:r>
        <w:rPr>
          <w:rFonts w:ascii="Times New Roman" w:hAnsi="Times New Roman" w:cs="Times New Roman"/>
          <w:sz w:val="28"/>
          <w:szCs w:val="28"/>
        </w:rPr>
        <w:t>роходит без аварий и крупных сбоев в работе предприятий, обеспечивающих население и объекты социальной сферы теплом. К отопительному периоду были подготовлены все котельные, промыты и опрессованы теплотрассы социальных объектов и жилищного фонда, отремонти</w:t>
      </w:r>
      <w:r>
        <w:rPr>
          <w:rFonts w:ascii="Times New Roman" w:hAnsi="Times New Roman" w:cs="Times New Roman"/>
          <w:sz w:val="28"/>
          <w:szCs w:val="28"/>
        </w:rPr>
        <w:t xml:space="preserve">рованы аварийные участки трубопроводов. 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21375E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малое внимание в прошедшем году уделено состоянию дорог в населенных пунктах поселения. Учитывая отсутствие специализированной организации по обслуживанию дорог, а также специальной техники, всё же в зимнее вре</w:t>
      </w:r>
      <w:r>
        <w:rPr>
          <w:rFonts w:ascii="Times New Roman" w:hAnsi="Times New Roman" w:cs="Times New Roman"/>
          <w:sz w:val="28"/>
          <w:szCs w:val="28"/>
        </w:rPr>
        <w:t>мя улицы своевременно или с незначительной задержкой очищались от снега, перекрестки на улицах с интенсивным движением посыпались. В теплое время года производилась подсыпка проезжей части улиц, проводилось их профилирование, а также ямочный ремонт асфальт</w:t>
      </w:r>
      <w:r>
        <w:rPr>
          <w:rFonts w:ascii="Times New Roman" w:hAnsi="Times New Roman" w:cs="Times New Roman"/>
          <w:sz w:val="28"/>
          <w:szCs w:val="28"/>
        </w:rPr>
        <w:t xml:space="preserve">обетонного дорожного покрытия. 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21375E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благоустраивались территории сельских кладбищ: проводилась их санитарная очистка, вывозился мусор, расчищались подъездные дороги, завозился песок для подсыпки могилок. 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21375E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</w:t>
      </w:r>
      <w:r>
        <w:rPr>
          <w:rFonts w:ascii="Times New Roman" w:hAnsi="Times New Roman" w:cs="Times New Roman"/>
          <w:sz w:val="28"/>
          <w:szCs w:val="28"/>
        </w:rPr>
        <w:t>ьные мероприятия проводились по предупреждению возникновения пожароопасных ситуаций, а также ликвидации пожаров в населенных пунктах поселения и прилегающих к ним территориях: жителям вручались памятки о соблюдении противопожарных требований, в пожароопасн</w:t>
      </w:r>
      <w:r>
        <w:rPr>
          <w:rFonts w:ascii="Times New Roman" w:hAnsi="Times New Roman" w:cs="Times New Roman"/>
          <w:sz w:val="28"/>
          <w:szCs w:val="28"/>
        </w:rPr>
        <w:t>ый период, велась разъяснительная работа по очистке подведомственных и прилегающих территорий от сухой травы и мусора. Администрацией поселения в 2016 году проведено обследование всех пожарных водоемов на территории населенных пунктов, также в селе Октябрь</w:t>
      </w:r>
      <w:r>
        <w:rPr>
          <w:rFonts w:ascii="Times New Roman" w:hAnsi="Times New Roman" w:cs="Times New Roman"/>
          <w:sz w:val="28"/>
          <w:szCs w:val="28"/>
        </w:rPr>
        <w:t xml:space="preserve">ское в целях недопущения возникновения пожаров проводился контролируемый отжиг сухой травы, проводилось опахивание минерализованных полос в селах Целинное, Октябрьское. 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21375E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Проводилась работа по организации дополнительных рабочих мест на 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4" w:right="1700" w:bottom="583" w:left="860" w:header="720" w:footer="720" w:gutter="0"/>
          <w:cols w:space="720" w:equalWidth="0">
            <w:col w:w="9340"/>
          </w:cols>
          <w:noEndnote/>
        </w:sectPr>
      </w:pP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20"/>
        <w:gridCol w:w="540"/>
        <w:gridCol w:w="25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 поселения.  На  основании  договора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Центром  занятости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населения   Ленинского   района   трудоустроено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  период   10</w:t>
            </w:r>
          </w:p>
        </w:tc>
      </w:tr>
    </w:tbl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844" w:right="1700" w:bottom="583" w:left="860" w:header="720" w:footer="720" w:gutter="0"/>
          <w:cols w:space="720" w:equalWidth="0">
            <w:col w:w="9340"/>
          </w:cols>
          <w:noEndnote/>
        </w:sectPr>
      </w:pPr>
    </w:p>
    <w:p w:rsidR="00000000" w:rsidRDefault="0021375E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несов</w:t>
      </w:r>
      <w:r>
        <w:rPr>
          <w:rFonts w:ascii="Times New Roman" w:hAnsi="Times New Roman" w:cs="Times New Roman"/>
          <w:sz w:val="28"/>
          <w:szCs w:val="28"/>
        </w:rPr>
        <w:t>ершеннолетних граждан из малообеспеченных и неблагополучных семей.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1375E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Также были приняты меры по оптимизации расходов на выполнение функций органами местного самоуправления (экономии фонда заработной платы муниципальных служащих).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1375E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полномочий расходуются средства доходной части бюджета сельского поселения, которая формируется за счет поступления налогов и арендной платы за использование муниципального имущества. Основной долей доходной части бюджета является налог на</w:t>
      </w:r>
      <w:r>
        <w:rPr>
          <w:rFonts w:ascii="Times New Roman" w:hAnsi="Times New Roman" w:cs="Times New Roman"/>
          <w:sz w:val="28"/>
          <w:szCs w:val="28"/>
        </w:rPr>
        <w:t xml:space="preserve"> доходы физических лиц (более 85%).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Расходование бюджетных средств выглядит следующим образом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60"/>
        <w:gridCol w:w="1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Организация уличного освещения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202,3 т.р.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Монтаж уличного освещения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120,0 т.р.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Организация благоустройства села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1874,5 т.р.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17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межевание земельных участков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17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 т.р.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грейдерование дорог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226,2 т.р.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сметных работ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82,3 т.р.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 асфальта по ул. Ленина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 т.р.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проекта организации дорожного движения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 т.р.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земляного полотна и устройство кюветов уличной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в с. Октябрьское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1096,2 т.р.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восстановление земляного полотна и устройство кюветов уличной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в с. Бабстово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287,0 т.р.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дорожных знаков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 т.р.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оплата по нарядам за уборку мусора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167,0 т.р.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и вывоз сухого мусора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 т.р.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скамей парковых, урн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67,0 т.р.</w:t>
            </w:r>
          </w:p>
        </w:tc>
      </w:tr>
    </w:tbl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20"/>
        <w:gridCol w:w="12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Обеспечение первичных мер пожарной безопасности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35,8 т.р.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опахивание  противопожарных полос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 т.р.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ритуальных услуг и мест захоронений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32,0 т.р.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организация захоронений)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 Создание условий для массового отдыха жителей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86,4 т.р.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17,9 т.р.</w:t>
            </w:r>
          </w:p>
        </w:tc>
      </w:tr>
    </w:tbl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1375E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(проведение соревнований (соревнования по волейболу среди мужчин</w:t>
      </w:r>
      <w:r>
        <w:rPr>
          <w:rFonts w:ascii="Times New Roman" w:hAnsi="Times New Roman" w:cs="Times New Roman"/>
          <w:sz w:val="28"/>
          <w:szCs w:val="28"/>
        </w:rPr>
        <w:t>, женщин; первенство по мини-футболу; соревнования по футболу; летняя спартакиада трудящихся; кросс)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00"/>
        <w:gridCol w:w="1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 Сохранение, использование объектов культурного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наследия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109,9 т.р.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Межбюджетные трансферты по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7462,1 т.р.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переданным полномочиям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Оплата взносов на капитальный ремонт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375E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169,7 т.р.</w:t>
            </w:r>
          </w:p>
        </w:tc>
      </w:tr>
    </w:tbl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1375E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закона Еврейской автономной области от 23.06.2010 № 781-ОЗ «Об административных правонарушениях» было выписано 30 протоколов физическим лицам,</w:t>
      </w:r>
      <w:r>
        <w:rPr>
          <w:rFonts w:ascii="Times New Roman" w:hAnsi="Times New Roman" w:cs="Times New Roman"/>
          <w:sz w:val="28"/>
          <w:szCs w:val="28"/>
        </w:rPr>
        <w:t xml:space="preserve"> по нарушения правил содержания домашних животных. Неоднократно о привлечении к административной ответственности за несоблюдение санитарного порядка и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0" w:right="840" w:bottom="586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21375E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Times New Roman" w:hAnsi="Times New Roman" w:cs="Times New Roman"/>
          <w:sz w:val="28"/>
          <w:szCs w:val="28"/>
        </w:rPr>
        <w:t>складирование мусора и твердых бытовых отходов,</w:t>
      </w:r>
      <w:r>
        <w:rPr>
          <w:rFonts w:ascii="Times New Roman" w:hAnsi="Times New Roman" w:cs="Times New Roman"/>
          <w:sz w:val="28"/>
          <w:szCs w:val="28"/>
        </w:rPr>
        <w:t xml:space="preserve"> в непредназначенных для этого местах, говорилось на встречах с жителями поселения, на совещаниях, проводимых при главе администрации сельского поселения.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1375E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части привлечения граждан и руководителей к административной ответственности администрацией поселе</w:t>
      </w:r>
      <w:r>
        <w:rPr>
          <w:rFonts w:ascii="Times New Roman" w:hAnsi="Times New Roman" w:cs="Times New Roman"/>
          <w:sz w:val="28"/>
          <w:szCs w:val="28"/>
        </w:rPr>
        <w:t>ния велась довольно мягкая политика. Выписывались предписания, проводились беседы, но порой хорошее отношение не имеет действия. На данный момент должностным лицам администрации поселения, уполномоченным составлять протоколы об административных правонаруше</w:t>
      </w:r>
      <w:r>
        <w:rPr>
          <w:rFonts w:ascii="Times New Roman" w:hAnsi="Times New Roman" w:cs="Times New Roman"/>
          <w:sz w:val="28"/>
          <w:szCs w:val="28"/>
        </w:rPr>
        <w:t>ниях, дано поручение при нарушении гражданами закона Еврейской автономной области от 23.06.2010 № 781-ОЗ «Об административных правонарушениях» сразу привлекать к ответственности, то есть составлять протокол и передавать его в административную комиссию Лени</w:t>
      </w:r>
      <w:r>
        <w:rPr>
          <w:rFonts w:ascii="Times New Roman" w:hAnsi="Times New Roman" w:cs="Times New Roman"/>
          <w:sz w:val="28"/>
          <w:szCs w:val="28"/>
        </w:rPr>
        <w:t>нского муниципального района, избегая предупредительных мер, таких как предписания.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1375E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эффективной работы администрации сельского поселения по исполнению переданных полномочий, осуществляют свою деятельность комиссии: по регламенту и депута</w:t>
      </w:r>
      <w:r>
        <w:rPr>
          <w:rFonts w:ascii="Times New Roman" w:hAnsi="Times New Roman" w:cs="Times New Roman"/>
          <w:sz w:val="28"/>
          <w:szCs w:val="28"/>
        </w:rPr>
        <w:t>тской этике Собрания депутатов, по бюджету, налогам и сборам при Собрании депутатов, по экономике и социальным вопросам при Собрании депутатов, жилищная, по противодействию коррупции, по проведению административной реформы, по рассмотрению отдельных вопрос</w:t>
      </w:r>
      <w:r>
        <w:rPr>
          <w:rFonts w:ascii="Times New Roman" w:hAnsi="Times New Roman" w:cs="Times New Roman"/>
          <w:sz w:val="28"/>
          <w:szCs w:val="28"/>
        </w:rPr>
        <w:t>ов муниципальной службы, по формированию резерва управленческих кадров, по профилактике терроризма и экстремизма, по соблюдению требований к служебному поведению и урегулированию конфликта интересов.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1375E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жилищная – поступило и рассмотрено 7 заявления на ул</w:t>
      </w:r>
      <w:r>
        <w:rPr>
          <w:rFonts w:ascii="Times New Roman" w:hAnsi="Times New Roman" w:cs="Times New Roman"/>
          <w:sz w:val="28"/>
          <w:szCs w:val="28"/>
        </w:rPr>
        <w:t xml:space="preserve">учшение жилищных условий, из муниципального жилого фонда по договорам социального найма предоставлены 2 жилых помещения гражданам состоявшим на учете. 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21375E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 – в целях своевременного выявления коррупции проводится экспертиза норм</w:t>
      </w:r>
      <w:r>
        <w:rPr>
          <w:rFonts w:ascii="Times New Roman" w:hAnsi="Times New Roman" w:cs="Times New Roman"/>
          <w:sz w:val="28"/>
          <w:szCs w:val="28"/>
        </w:rPr>
        <w:t xml:space="preserve">ативно правовых и нормативных актов администрации – 51 заключение. Проводилась проверка достоверности и полноты сведений о доходах, представляемых муниципальными служащими, фактов недостоверной информации не выявлено. 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21375E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</w:t>
      </w:r>
      <w:r>
        <w:rPr>
          <w:rFonts w:ascii="Times New Roman" w:hAnsi="Times New Roman" w:cs="Times New Roman"/>
          <w:sz w:val="28"/>
          <w:szCs w:val="28"/>
        </w:rPr>
        <w:t xml:space="preserve">нию административной реформы – составлено 3 протокола на проекты административных регламентов. 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21375E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1018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рамках предоставления государственных и муниципальных услуг в электронном виде специалистами администрации было направлено 193 запросов в электронном виде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системы межведомственного электронного взаимодействия. 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21375E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показатели на 01 января 2017 года несколько отличаются от показателей на 01 января 2016 года. Общая численность населения Бабстовского сельского поселения составила 2252 ч</w:t>
      </w:r>
      <w:r>
        <w:rPr>
          <w:rFonts w:ascii="Times New Roman" w:hAnsi="Times New Roman" w:cs="Times New Roman"/>
          <w:sz w:val="28"/>
          <w:szCs w:val="28"/>
        </w:rPr>
        <w:t>еловека. В 2016 году родилось 35 человека, умерло 29 человека. На основании проведенной работы специалистами администрации по учету и регистрации граждан в похозяйственных книгах на территории поселения зарегистрировано 251 квартир благоустроенного сектора</w:t>
      </w:r>
      <w:r>
        <w:rPr>
          <w:rFonts w:ascii="Times New Roman" w:hAnsi="Times New Roman" w:cs="Times New Roman"/>
          <w:sz w:val="28"/>
          <w:szCs w:val="28"/>
        </w:rPr>
        <w:t xml:space="preserve"> и 569 дворов. По социальным категориям 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0" w:right="1680" w:bottom="583" w:left="860" w:header="720" w:footer="720" w:gutter="0"/>
          <w:cols w:space="720" w:equalWidth="0">
            <w:col w:w="9360"/>
          </w:cols>
          <w:noEndnote/>
        </w:sectPr>
      </w:pPr>
    </w:p>
    <w:p w:rsidR="00000000" w:rsidRDefault="0021375E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Times New Roman" w:hAnsi="Times New Roman" w:cs="Times New Roman"/>
          <w:sz w:val="28"/>
          <w:szCs w:val="28"/>
        </w:rPr>
        <w:t>зарегистрировано 23 неполных семьи, 43 многодетных семей, 8 неблагополучных семей.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1375E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Развиваются и функционируют на территории поселения 3 крестьянско-фермерских хозяйств (Усов, Мазур,</w:t>
      </w:r>
      <w:r>
        <w:rPr>
          <w:rFonts w:ascii="Times New Roman" w:hAnsi="Times New Roman" w:cs="Times New Roman"/>
          <w:sz w:val="28"/>
          <w:szCs w:val="28"/>
        </w:rPr>
        <w:t xml:space="preserve"> Светлакова).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1375E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1128"/>
        </w:tabs>
        <w:overflowPunct w:val="0"/>
        <w:autoSpaceDE w:val="0"/>
        <w:autoSpaceDN w:val="0"/>
        <w:adjustRightInd w:val="0"/>
        <w:spacing w:after="0" w:line="224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целом, на территории поселения зарегистрировано 137 голов крупного рогатого скота, 121 голов свиней, 69 голов мелкого рогатого скота, 1720 птиц, 61 голов лошадей. 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21375E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1089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рамках государственной поддержке сельхоз. производителей в отчетном го</w:t>
      </w:r>
      <w:r>
        <w:rPr>
          <w:rFonts w:ascii="Times New Roman" w:hAnsi="Times New Roman" w:cs="Times New Roman"/>
          <w:sz w:val="28"/>
          <w:szCs w:val="28"/>
        </w:rPr>
        <w:t xml:space="preserve">ду было выделено финансирование за: 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21375E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2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- сдачу молока государству около 130 500 руб.; - содержание свиноматок около 56 000 руб. 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21375E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1154"/>
        </w:tabs>
        <w:overflowPunct w:val="0"/>
        <w:autoSpaceDE w:val="0"/>
        <w:autoSpaceDN w:val="0"/>
        <w:adjustRightInd w:val="0"/>
        <w:spacing w:after="0" w:line="233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соответствии с законами Еврейской автономной области от 28.04.2004 № 283-ОЗ «О государственной поддержке граждан, ведущих </w:t>
      </w:r>
      <w:r>
        <w:rPr>
          <w:rFonts w:ascii="Times New Roman" w:hAnsi="Times New Roman" w:cs="Times New Roman"/>
          <w:sz w:val="28"/>
          <w:szCs w:val="28"/>
        </w:rPr>
        <w:t>личные подсобные хозяйства на территории ЕАО», от 26.12.2007 № 293–ОЗ «О наделении органов местного самоуправления муниципальных образований Еврейской автономной области отдельными государственными полномочиями по вопросам государственной поддержки сельско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хозяйственного производства» утвержден Порядок предоставления субсидий гражданам, ведущим личное подсобное хозяйство. 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21375E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«О порядке рассмотрения обращений граждан в Российской Федерации» в администрации организован личн</w:t>
      </w:r>
      <w:r>
        <w:rPr>
          <w:rFonts w:ascii="Times New Roman" w:hAnsi="Times New Roman" w:cs="Times New Roman"/>
          <w:sz w:val="28"/>
          <w:szCs w:val="28"/>
        </w:rPr>
        <w:t xml:space="preserve">ый приём жителей главой сельского поселения, заместителем главы администрации, депутатами сельского поселения. Также проводятся сходы жителей по возникающим вопросам. За отчетный период главой администрации было рассмотрено 62 устных заявлений, все решены </w:t>
      </w:r>
      <w:r>
        <w:rPr>
          <w:rFonts w:ascii="Times New Roman" w:hAnsi="Times New Roman" w:cs="Times New Roman"/>
          <w:sz w:val="28"/>
          <w:szCs w:val="28"/>
        </w:rPr>
        <w:t>положительно. Письменных обращений было зарегистрировано 86, все решены положительно. Основными вопросами были предоставление жилья, снабжение населения твердым топливом, материальная помощь, водоснабжение и сельское хозяйство, причины отключения электриче</w:t>
      </w:r>
      <w:r>
        <w:rPr>
          <w:rFonts w:ascii="Times New Roman" w:hAnsi="Times New Roman" w:cs="Times New Roman"/>
          <w:sz w:val="28"/>
          <w:szCs w:val="28"/>
        </w:rPr>
        <w:t xml:space="preserve">ской энергии, качество предоставления услуг телевещания. 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21375E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01.03.2015 года в соответствии со статьей 3,3 Федерального закона от 25.10.2001 № 137-ФЗ «О введении в действие Земельного кодекса Российской Федерации» муниципальное образование наделено правом</w:t>
      </w:r>
      <w:r>
        <w:rPr>
          <w:rFonts w:ascii="Times New Roman" w:hAnsi="Times New Roman" w:cs="Times New Roman"/>
          <w:sz w:val="28"/>
          <w:szCs w:val="28"/>
        </w:rPr>
        <w:t xml:space="preserve"> распоряжаться землями, государственная собственность, на которые не разграничена, в отношении земельных участков, расположенных не территории нашего поселения. В связи, с чем администрацией в отчетном году было рассмотрено 40 заявлений по предоставлению з</w:t>
      </w:r>
      <w:r>
        <w:rPr>
          <w:rFonts w:ascii="Times New Roman" w:hAnsi="Times New Roman" w:cs="Times New Roman"/>
          <w:sz w:val="28"/>
          <w:szCs w:val="28"/>
        </w:rPr>
        <w:t xml:space="preserve">емельных участков физическим и юридическим лицам в аренду или собственность, заключено 25 договоров аренды и 2 договора купли продажи земельных участков 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21375E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Проводимая работа администрации оформляется протоколами. Все запросы своевременно исполняются. Прово</w:t>
      </w:r>
      <w:r>
        <w:rPr>
          <w:rFonts w:ascii="Times New Roman" w:hAnsi="Times New Roman" w:cs="Times New Roman"/>
          <w:sz w:val="28"/>
          <w:szCs w:val="28"/>
        </w:rPr>
        <w:t xml:space="preserve">дится нормотворческая работа. Для качественной подготовки нормативных документов в администрации подключены информационная система «Консультант Плюс», Интернет. 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21375E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решений Собрания депутатов и постановлений администрации проходят юридическую экспертизу. В итоге за 2016 год администрацией сельского поселения принято - 151 постановление, 92 решений, 82 распоряжения по основной деятельности администрации. Было 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0" w:right="840" w:bottom="583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21375E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Times New Roman" w:hAnsi="Times New Roman" w:cs="Times New Roman"/>
          <w:sz w:val="28"/>
          <w:szCs w:val="28"/>
        </w:rPr>
        <w:t>организовано и проведено 3 публичных слушаний, касающихся внесения изменений в Устав сельского поселения, принятия бюджета сельского поселения.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1375E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Для своевременного опубликования муниципальных правовых актов издаётся «Инфор</w:t>
      </w:r>
      <w:r>
        <w:rPr>
          <w:rFonts w:ascii="Times New Roman" w:hAnsi="Times New Roman" w:cs="Times New Roman"/>
          <w:sz w:val="28"/>
          <w:szCs w:val="28"/>
        </w:rPr>
        <w:t>мационный бюллетень» Бабстовского сельского поселения в отчетном году выпущено 15 изданий, которые распространяется по селам поселения, а также передается в библиотеку сел сельского поселения и находится для свободного доступа граждан возле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стенда в помещении администрации, создана Интернет-страница сельского поселения с отображением на ней сведений о структуре органов местного самоуправления сельского поселения, муниципальных правовых актах, регламентирующих их деятельность; адреса и телефо</w:t>
      </w:r>
      <w:r>
        <w:rPr>
          <w:rFonts w:ascii="Times New Roman" w:hAnsi="Times New Roman" w:cs="Times New Roman"/>
          <w:sz w:val="28"/>
          <w:szCs w:val="28"/>
        </w:rPr>
        <w:t>ны руководителей, новости о важных событиях в жизни жителей поселения.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1375E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поселения, Собранием депутатов, специалистами администрации решается еще много вопросов, возникающих в ходе жизнедеятельности поселения и не относящихся к полномочиям </w:t>
      </w:r>
      <w:r>
        <w:rPr>
          <w:rFonts w:ascii="Times New Roman" w:hAnsi="Times New Roman" w:cs="Times New Roman"/>
          <w:sz w:val="28"/>
          <w:szCs w:val="28"/>
        </w:rPr>
        <w:t>сельского поселения. Но потому и называется существующая форма управления – местное самоуправление – что мы с Вами самостоятельно и под свою ответственность осуществляем решение вопросов местного значения.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1375E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целом, за 2016 год всё, что было запланировано,</w:t>
      </w:r>
      <w:r>
        <w:rPr>
          <w:rFonts w:ascii="Times New Roman" w:hAnsi="Times New Roman" w:cs="Times New Roman"/>
          <w:sz w:val="28"/>
          <w:szCs w:val="28"/>
        </w:rPr>
        <w:t xml:space="preserve"> исполнено. Своевременно решались возникающие вопросы и трудности.</w:t>
      </w:r>
    </w:p>
    <w:p w:rsidR="00000000" w:rsidRDefault="0021375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910" w:right="1700" w:bottom="1440" w:left="860" w:header="720" w:footer="720" w:gutter="0"/>
      <w:cols w:space="720" w:equalWidth="0">
        <w:col w:w="93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5E"/>
    <w:rsid w:val="0021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2224</ap:Words>
  <ap:Characters>12682</ap:Characters>
  <ap:Application/>
  <ap:DocSecurity>4</ap:DocSecurity>
  <ap:Lines>105</ap:Lines>
  <ap:Paragraphs>29</ap:Paragraphs>
  <ap:ScaleCrop>false</ap:ScaleCrop>
  <ap:Company/>
  <ap:LinksUpToDate>false</ap:LinksUpToDate>
  <ap:CharactersWithSpaces>14877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2017-08-22T05:36:00Z</dcterms:created>
  <dcterms:modified xsi:type="dcterms:W3CDTF">2017-08-22T05:36:00Z</dcterms:modified>
</cp:coreProperties>
</file>