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7E6B" w:rsidRDefault="008C7E6B" w:rsidP="008C7E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C7E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Сокращён перечень обязательных требований безопасности к транспортным средствам при техосмотре</w:t>
      </w:r>
    </w:p>
    <w:p w:rsidR="008C7E6B" w:rsidRPr="008C7E6B" w:rsidRDefault="008C7E6B" w:rsidP="008C7E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C7E6B" w:rsidRPr="008C7E6B" w:rsidRDefault="008C7E6B" w:rsidP="008C7E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4"/>
          <w:szCs w:val="14"/>
        </w:rPr>
      </w:pPr>
      <w:r w:rsidRPr="008C7E6B">
        <w:rPr>
          <w:color w:val="333333"/>
          <w:sz w:val="28"/>
          <w:szCs w:val="28"/>
        </w:rPr>
        <w:t>01.09.2022 вступило в силу Постановление Правительства РФ от 09.03.2022 №306 «О внесении изменений в некоторые акты Правительства Российской Федерации», в соответствии с которым сокращён перечень обязательных требований безопасности к транспортным средствам при их техосмотре.</w:t>
      </w:r>
    </w:p>
    <w:p w:rsidR="008C7E6B" w:rsidRPr="008C7E6B" w:rsidRDefault="008C7E6B" w:rsidP="008C7E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4"/>
          <w:szCs w:val="14"/>
        </w:rPr>
      </w:pPr>
      <w:r w:rsidRPr="008C7E6B">
        <w:rPr>
          <w:color w:val="333333"/>
          <w:sz w:val="28"/>
          <w:szCs w:val="28"/>
        </w:rPr>
        <w:t>В частности, теперь не подлежит проверке наличие знака аварийной остановки, аптечки, огнетушителя; коррозии в тормозной системе; повышения подвижности деталей рулевого привода относительно друг друга или кузова; соответствие уровня шума выпускной системы требованиям технического регламента «О безопасности колесных ТС».</w:t>
      </w:r>
    </w:p>
    <w:sectPr w:rsidR="008C7E6B" w:rsidRPr="008C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C7E6B"/>
    <w:rsid w:val="008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2022-12-09T08:02:00Z</dcterms:created>
  <dcterms:modified xsi:type="dcterms:W3CDTF">2022-12-09T08:04:00Z</dcterms:modified>
</cp:coreProperties>
</file>